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2.xml" ContentType="application/vnd.openxmlformats-officedocument.wordprocessingml.header+xml"/>
  <Override PartName="/word/header1.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10080" w:type="dxa"/>
        <w:jc w:val="start"/>
        <w:tblInd w:w="0" w:type="dxa"/>
        <w:tblLayout w:type="fixed"/>
        <w:tblCellMar>
          <w:top w:w="0" w:type="dxa"/>
          <w:start w:w="108" w:type="dxa"/>
          <w:bottom w:w="0" w:type="dxa"/>
          <w:end w:w="108" w:type="dxa"/>
        </w:tblCellMar>
      </w:tblPr>
      <w:tblGrid>
        <w:gridCol w:w="8080"/>
        <w:gridCol w:w="2000"/>
      </w:tblGrid>
      <w:tr>
        <w:trPr/>
        <w:tc>
          <w:tcPr>
            <w:tcW w:w="8080" w:type="dxa"/>
            <w:tcBorders/>
          </w:tcPr>
          <w:p>
            <w:pPr>
              <w:pStyle w:val="Normal"/>
              <w:rPr/>
            </w:pPr>
            <w:r>
              <w:rPr/>
            </w:r>
          </w:p>
        </w:tc>
        <w:tc>
          <w:tcPr>
            <w:tcW w:w="2000" w:type="dxa"/>
            <w:tcBorders/>
            <w:vAlign w:val="center"/>
          </w:tcPr>
          <w:p>
            <w:pPr>
              <w:pStyle w:val="Normal"/>
              <w:jc w:val="end"/>
              <w:rPr/>
            </w:pPr>
            <w:r>
              <w:rPr/>
              <w:drawing>
                <wp:inline distT="0" distB="0" distL="0" distR="0">
                  <wp:extent cx="1238250" cy="400050"/>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2"/>
                          <a:stretch>
                            <a:fillRect/>
                          </a:stretch>
                        </pic:blipFill>
                        <pic:spPr bwMode="auto">
                          <a:xfrm>
                            <a:off x="0" y="0"/>
                            <a:ext cx="1238250" cy="400050"/>
                          </a:xfrm>
                          <a:prstGeom prst="rect">
                            <a:avLst/>
                          </a:prstGeom>
                          <a:noFill/>
                        </pic:spPr>
                      </pic:pic>
                    </a:graphicData>
                  </a:graphic>
                </wp:inline>
              </w:drawing>
            </w:r>
          </w:p>
        </w:tc>
      </w:tr>
    </w:tbl>
    <w:p>
      <w:pPr>
        <w:pStyle w:val="Normal"/>
        <w:spacing w:before="0" w:after="60"/>
        <w:rPr/>
      </w:pPr>
      <w:r>
        <w:rPr/>
      </w:r>
    </w:p>
    <w:p>
      <w:pPr>
        <w:pStyle w:val="Normal"/>
        <w:spacing w:before="0" w:after="20"/>
        <w:jc w:val="center"/>
        <w:rPr/>
      </w:pPr>
      <w:r>
        <w:rPr>
          <w:rFonts w:eastAsia="Calibri" w:cs="Calibri"/>
          <w:color w:val="1F2937"/>
          <w:sz w:val="40"/>
          <w:szCs w:val="40"/>
        </w:rPr>
        <w:t xml:space="preserve">Broadway </w:t>
      </w:r>
      <w:r>
        <w:rPr>
          <w:rFonts w:eastAsia="Calibri" w:cs="Calibri"/>
          <w:b/>
          <w:bCs/>
          <w:color w:val="1F2937"/>
          <w:sz w:val="40"/>
          <w:szCs w:val="40"/>
        </w:rPr>
        <w:t>Air Extraction Protocol</w:t>
      </w:r>
    </w:p>
    <w:p>
      <w:pPr>
        <w:pStyle w:val="Normal"/>
        <w:spacing w:before="0" w:after="260"/>
        <w:jc w:val="center"/>
        <w:rPr/>
      </w:pPr>
      <w:r>
        <w:rPr>
          <w:rFonts w:eastAsia="Calibri" w:cs="Calibri"/>
          <w:i/>
          <w:iCs/>
          <w:color w:val="B91C1C"/>
          <w:sz w:val="24"/>
          <w:szCs w:val="24"/>
        </w:rPr>
        <w:t>Stages 3, 5 &amp; 6</w:t>
      </w:r>
    </w:p>
    <w:p>
      <w:pPr>
        <w:pStyle w:val="Normal"/>
        <w:spacing w:lineRule="auto" w:line="276" w:before="0" w:after="160"/>
        <w:jc w:val="both"/>
        <w:rPr/>
      </w:pPr>
      <w:r>
        <w:rPr>
          <w:rFonts w:eastAsia="Calibri" w:cs="Calibri"/>
          <w:color w:val="111827"/>
          <w:sz w:val="22"/>
          <w:szCs w:val="22"/>
        </w:rPr>
        <w:t>We will be working in the stages with machines that run on propane. Our goal is to ensure that everyone is working under safe conditions at all times. The maximum exposure limit of carbon monoxide (CO) under Regulation 833, on an 8-hour workday, is 25 ppm — 30 minutes at 75 ppm — while the maximum exposure limit is 125 ppm.</w:t>
      </w:r>
    </w:p>
    <w:p>
      <w:pPr>
        <w:pStyle w:val="Normal"/>
        <w:spacing w:before="0" w:after="60"/>
        <w:rPr/>
      </w:pPr>
      <w:r>
        <w:rPr/>
      </w:r>
    </w:p>
    <w:tbl>
      <w:tblPr>
        <w:tblW w:w="10080" w:type="dxa"/>
        <w:jc w:val="start"/>
        <w:tblInd w:w="0" w:type="dxa"/>
        <w:tblLayout w:type="fixed"/>
        <w:tblCellMar>
          <w:top w:w="180" w:type="dxa"/>
          <w:start w:w="220" w:type="dxa"/>
          <w:bottom w:w="180" w:type="dxa"/>
          <w:end w:w="220" w:type="dxa"/>
        </w:tblCellMar>
      </w:tblPr>
      <w:tblGrid>
        <w:gridCol w:w="10080"/>
      </w:tblGrid>
      <w:tr>
        <w:trPr/>
        <w:tc>
          <w:tcPr>
            <w:tcW w:w="10080" w:type="dxa"/>
            <w:tcBorders>
              <w:top w:val="single" w:sz="4" w:space="0" w:color="D1D5DB"/>
              <w:start w:val="single" w:sz="24" w:space="0" w:color="B91C1C"/>
              <w:bottom w:val="single" w:sz="4" w:space="0" w:color="D1D5DB"/>
              <w:end w:val="single" w:sz="4" w:space="0" w:color="D1D5DB"/>
            </w:tcBorders>
            <w:shd w:fill="F3F4F6" w:val="clear"/>
          </w:tcPr>
          <w:p>
            <w:pPr>
              <w:pStyle w:val="Normal"/>
              <w:spacing w:before="0" w:after="60"/>
              <w:rPr/>
            </w:pPr>
            <w:r>
              <w:rPr>
                <w:rFonts w:eastAsia="Calibri" w:cs="Calibri"/>
                <w:b/>
                <w:bCs/>
                <w:color w:val="1F2937"/>
                <w:sz w:val="22"/>
                <w:szCs w:val="22"/>
              </w:rPr>
              <w:t>Ontario Occupational Health and Safety Act — Regulation 833</w:t>
            </w:r>
          </w:p>
          <w:p>
            <w:pPr>
              <w:pStyle w:val="Normal"/>
              <w:spacing w:before="0" w:after="120"/>
              <w:rPr/>
            </w:pPr>
            <w:r>
              <w:rPr>
                <w:rFonts w:eastAsia="Calibri" w:cs="Calibri"/>
                <w:i/>
                <w:iCs/>
                <w:color w:val="6B7280"/>
                <w:sz w:val="20"/>
                <w:szCs w:val="20"/>
              </w:rPr>
              <w:t>Control of Exposure to Biological or Chemical Agents</w:t>
            </w:r>
          </w:p>
          <w:p>
            <w:pPr>
              <w:pStyle w:val="Normal"/>
              <w:spacing w:before="0" w:after="40"/>
              <w:rPr/>
            </w:pPr>
            <w:r>
              <w:rPr>
                <w:rFonts w:eastAsia="Calibri" w:cs="Calibri"/>
                <w:b/>
                <w:bCs/>
                <w:color w:val="B91C1C"/>
                <w:sz w:val="21"/>
                <w:szCs w:val="21"/>
              </w:rPr>
              <w:t xml:space="preserve">•  </w:t>
            </w:r>
            <w:r>
              <w:rPr>
                <w:rFonts w:eastAsia="Calibri" w:cs="Calibri"/>
                <w:b/>
                <w:bCs/>
                <w:sz w:val="21"/>
                <w:szCs w:val="21"/>
              </w:rPr>
              <w:t xml:space="preserve">Time-Weighted Average (8-hour workday): </w:t>
            </w:r>
            <w:r>
              <w:rPr>
                <w:rFonts w:eastAsia="Calibri" w:cs="Calibri"/>
                <w:sz w:val="21"/>
                <w:szCs w:val="21"/>
              </w:rPr>
              <w:t>25 ppm</w:t>
            </w:r>
          </w:p>
          <w:p>
            <w:pPr>
              <w:pStyle w:val="Normal"/>
              <w:spacing w:before="0" w:after="40"/>
              <w:rPr/>
            </w:pPr>
            <w:r>
              <w:rPr>
                <w:rFonts w:eastAsia="Calibri" w:cs="Calibri"/>
                <w:b/>
                <w:bCs/>
                <w:color w:val="B91C1C"/>
                <w:sz w:val="21"/>
                <w:szCs w:val="21"/>
              </w:rPr>
              <w:t xml:space="preserve">•  </w:t>
            </w:r>
            <w:r>
              <w:rPr>
                <w:rFonts w:eastAsia="Calibri" w:cs="Calibri"/>
                <w:b/>
                <w:bCs/>
                <w:sz w:val="21"/>
                <w:szCs w:val="21"/>
              </w:rPr>
              <w:t xml:space="preserve">30-Minute Exposure Limit: </w:t>
            </w:r>
            <w:r>
              <w:rPr>
                <w:rFonts w:eastAsia="Calibri" w:cs="Calibri"/>
                <w:sz w:val="21"/>
                <w:szCs w:val="21"/>
              </w:rPr>
              <w:t>75 ppm</w:t>
            </w:r>
          </w:p>
          <w:p>
            <w:pPr>
              <w:pStyle w:val="Normal"/>
              <w:spacing w:before="0" w:after="0"/>
              <w:rPr/>
            </w:pPr>
            <w:r>
              <w:rPr>
                <w:rFonts w:eastAsia="Calibri" w:cs="Calibri"/>
                <w:b/>
                <w:bCs/>
                <w:color w:val="B91C1C"/>
                <w:sz w:val="21"/>
                <w:szCs w:val="21"/>
              </w:rPr>
              <w:t xml:space="preserve">•  </w:t>
            </w:r>
            <w:r>
              <w:rPr>
                <w:rFonts w:eastAsia="Calibri" w:cs="Calibri"/>
                <w:b/>
                <w:bCs/>
                <w:sz w:val="21"/>
                <w:szCs w:val="21"/>
              </w:rPr>
              <w:t xml:space="preserve">Maximum (Ceiling) Exposure Limit: </w:t>
            </w:r>
            <w:r>
              <w:rPr>
                <w:rFonts w:eastAsia="Calibri" w:cs="Calibri"/>
                <w:sz w:val="21"/>
                <w:szCs w:val="21"/>
              </w:rPr>
              <w:t>125 ppm</w:t>
            </w:r>
          </w:p>
        </w:tc>
      </w:tr>
    </w:tbl>
    <w:p>
      <w:pPr>
        <w:pStyle w:val="Normal"/>
        <w:spacing w:before="0" w:after="260"/>
        <w:rPr/>
      </w:pPr>
      <w:r>
        <w:rPr/>
      </w:r>
    </w:p>
    <w:p>
      <w:pPr>
        <w:pStyle w:val="Normal"/>
        <w:pBdr>
          <w:bottom w:val="single" w:sz="8" w:space="4" w:color="B91C1C"/>
        </w:pBdr>
        <w:spacing w:before="260" w:after="120"/>
        <w:rPr/>
      </w:pPr>
      <w:r>
        <w:rPr>
          <w:rFonts w:eastAsia="Calibri" w:cs="Calibri"/>
          <w:b/>
          <w:bCs/>
          <w:color w:val="1F2937"/>
          <w:sz w:val="26"/>
          <w:szCs w:val="26"/>
        </w:rPr>
        <w:t>Protocol Steps</w:t>
      </w:r>
    </w:p>
    <w:tbl>
      <w:tblPr>
        <w:tblW w:w="10080" w:type="dxa"/>
        <w:jc w:val="start"/>
        <w:tblInd w:w="0" w:type="dxa"/>
        <w:tblLayout w:type="fixed"/>
        <w:tblCellMar>
          <w:top w:w="100" w:type="dxa"/>
          <w:start w:w="0" w:type="dxa"/>
          <w:bottom w:w="100" w:type="dxa"/>
          <w:end w:w="0" w:type="dxa"/>
        </w:tblCellMar>
      </w:tblPr>
      <w:tblGrid>
        <w:gridCol w:w="560"/>
        <w:gridCol w:w="9520"/>
      </w:tblGrid>
      <w:tr>
        <w:trPr/>
        <w:tc>
          <w:tcPr>
            <w:tcW w:w="560" w:type="dxa"/>
            <w:tcBorders/>
            <w:shd w:fill="1F2937" w:val="clear"/>
            <w:vAlign w:val="center"/>
          </w:tcPr>
          <w:p>
            <w:pPr>
              <w:pStyle w:val="Normal"/>
              <w:jc w:val="center"/>
              <w:rPr/>
            </w:pPr>
            <w:r>
              <w:rPr>
                <w:rFonts w:eastAsia="Calibri" w:cs="Calibri"/>
                <w:b/>
                <w:bCs/>
                <w:color w:val="FFFFFF"/>
                <w:sz w:val="24"/>
                <w:szCs w:val="24"/>
              </w:rPr>
              <w:t>1</w:t>
            </w:r>
          </w:p>
        </w:tc>
        <w:tc>
          <w:tcPr>
            <w:tcW w:w="9520" w:type="dxa"/>
            <w:tcBorders>
              <w:top w:val="single" w:sz="2" w:space="0" w:color="E5E7EB"/>
              <w:start w:val="single" w:sz="2" w:space="0" w:color="E5E7EB"/>
              <w:bottom w:val="single" w:sz="2" w:space="0" w:color="E5E7EB"/>
              <w:end w:val="single" w:sz="2" w:space="0" w:color="E5E7EB"/>
            </w:tcBorders>
            <w:tcMar>
              <w:start w:w="200" w:type="dxa"/>
              <w:end w:w="100" w:type="dxa"/>
            </w:tcMar>
          </w:tcPr>
          <w:p>
            <w:pPr>
              <w:pStyle w:val="Normal"/>
              <w:rPr/>
            </w:pPr>
            <w:r>
              <w:rPr>
                <w:rFonts w:eastAsia="Calibri" w:cs="Calibri"/>
                <w:b/>
                <w:bCs/>
                <w:color w:val="1F2937"/>
                <w:sz w:val="22"/>
                <w:szCs w:val="22"/>
              </w:rPr>
              <w:t>Hazard Assessment —</w:t>
            </w:r>
            <w:r>
              <w:rPr>
                <w:rFonts w:eastAsia="Calibri" w:cs="Calibri"/>
                <w:color w:val="111827"/>
                <w:sz w:val="22"/>
                <w:szCs w:val="22"/>
              </w:rPr>
              <w:t xml:space="preserve">  Identify atmospheric hazards, toxic fumes, or substances before commencing work.</w:t>
            </w:r>
          </w:p>
        </w:tc>
      </w:tr>
      <w:tr>
        <w:trPr/>
        <w:tc>
          <w:tcPr>
            <w:tcW w:w="560" w:type="dxa"/>
            <w:tcBorders/>
            <w:shd w:fill="1F2937" w:val="clear"/>
            <w:vAlign w:val="center"/>
          </w:tcPr>
          <w:p>
            <w:pPr>
              <w:pStyle w:val="Normal"/>
              <w:jc w:val="center"/>
              <w:rPr/>
            </w:pPr>
            <w:r>
              <w:rPr>
                <w:rFonts w:eastAsia="Calibri" w:cs="Calibri"/>
                <w:b/>
                <w:bCs/>
                <w:color w:val="FFFFFF"/>
                <w:sz w:val="24"/>
                <w:szCs w:val="24"/>
              </w:rPr>
              <w:t>2</w:t>
            </w:r>
          </w:p>
        </w:tc>
        <w:tc>
          <w:tcPr>
            <w:tcW w:w="9520" w:type="dxa"/>
            <w:tcBorders>
              <w:top w:val="single" w:sz="2" w:space="0" w:color="E5E7EB"/>
              <w:start w:val="single" w:sz="2" w:space="0" w:color="E5E7EB"/>
              <w:bottom w:val="single" w:sz="2" w:space="0" w:color="E5E7EB"/>
              <w:end w:val="single" w:sz="2" w:space="0" w:color="E5E7EB"/>
            </w:tcBorders>
            <w:tcMar>
              <w:start w:w="200" w:type="dxa"/>
              <w:end w:w="100" w:type="dxa"/>
            </w:tcMar>
          </w:tcPr>
          <w:p>
            <w:pPr>
              <w:pStyle w:val="Normal"/>
              <w:rPr/>
            </w:pPr>
            <w:r>
              <w:rPr>
                <w:rFonts w:eastAsia="Calibri" w:cs="Calibri"/>
                <w:b/>
                <w:bCs/>
                <w:color w:val="1F2937"/>
                <w:sz w:val="22"/>
                <w:szCs w:val="22"/>
              </w:rPr>
              <w:t>Activate LEV (Local Exhaust Ventilation) —</w:t>
            </w:r>
            <w:r>
              <w:rPr>
                <w:rFonts w:eastAsia="Calibri" w:cs="Calibri"/>
                <w:color w:val="111827"/>
                <w:sz w:val="22"/>
                <w:szCs w:val="22"/>
              </w:rPr>
              <w:t xml:space="preserve">  Contact JHSC Co-Chair Richard Cimini, 647-335-4715.</w:t>
            </w:r>
          </w:p>
        </w:tc>
      </w:tr>
      <w:tr>
        <w:trPr/>
        <w:tc>
          <w:tcPr>
            <w:tcW w:w="560" w:type="dxa"/>
            <w:tcBorders/>
            <w:shd w:fill="1F2937" w:val="clear"/>
            <w:vAlign w:val="center"/>
          </w:tcPr>
          <w:p>
            <w:pPr>
              <w:pStyle w:val="Normal"/>
              <w:jc w:val="center"/>
              <w:rPr/>
            </w:pPr>
            <w:r>
              <w:rPr>
                <w:rFonts w:eastAsia="Calibri" w:cs="Calibri"/>
                <w:b/>
                <w:bCs/>
                <w:color w:val="FFFFFF"/>
                <w:sz w:val="24"/>
                <w:szCs w:val="24"/>
              </w:rPr>
              <w:t>3</w:t>
            </w:r>
          </w:p>
        </w:tc>
        <w:tc>
          <w:tcPr>
            <w:tcW w:w="9520" w:type="dxa"/>
            <w:tcBorders>
              <w:top w:val="single" w:sz="2" w:space="0" w:color="E5E7EB"/>
              <w:start w:val="single" w:sz="2" w:space="0" w:color="E5E7EB"/>
              <w:bottom w:val="single" w:sz="2" w:space="0" w:color="E5E7EB"/>
              <w:end w:val="single" w:sz="2" w:space="0" w:color="E5E7EB"/>
            </w:tcBorders>
            <w:tcMar>
              <w:start w:w="200" w:type="dxa"/>
              <w:end w:w="100" w:type="dxa"/>
            </w:tcMar>
          </w:tcPr>
          <w:p>
            <w:pPr>
              <w:pStyle w:val="Normal"/>
              <w:rPr/>
            </w:pPr>
            <w:r>
              <w:rPr>
                <w:rFonts w:eastAsia="Calibri" w:cs="Calibri"/>
                <w:b/>
                <w:bCs/>
                <w:color w:val="1F2937"/>
                <w:sz w:val="22"/>
                <w:szCs w:val="22"/>
              </w:rPr>
              <w:t>Air Monitoring —</w:t>
            </w:r>
            <w:r>
              <w:rPr>
                <w:rFonts w:eastAsia="Calibri" w:cs="Calibri"/>
                <w:color w:val="111827"/>
                <w:sz w:val="22"/>
                <w:szCs w:val="22"/>
              </w:rPr>
              <w:t xml:space="preserve">  Continuous monitoring and testing of air quality to ensure exposure limits are not exceeded.</w:t>
            </w:r>
          </w:p>
        </w:tc>
      </w:tr>
    </w:tbl>
    <w:p>
      <w:pPr>
        <w:pStyle w:val="Normal"/>
        <w:spacing w:before="0" w:after="220"/>
        <w:rPr/>
      </w:pPr>
      <w:r>
        <w:rPr/>
      </w:r>
    </w:p>
    <w:p>
      <w:pPr>
        <w:pStyle w:val="Normal"/>
        <w:spacing w:lineRule="auto" w:line="276" w:before="0" w:after="160"/>
        <w:jc w:val="both"/>
        <w:rPr/>
      </w:pPr>
      <w:r>
        <w:rPr>
          <w:rFonts w:eastAsia="Calibri" w:cs="Calibri"/>
          <w:color w:val="111827"/>
          <w:sz w:val="22"/>
          <w:szCs w:val="22"/>
        </w:rPr>
        <w:t>When working with machines or any other atmospheric hazards in the studio, please notify your JHSC Co-Chair (Richard Cimini) and the extractor will be made active in your stage. In addition to LEV, your health and safety representative will also be informed that air quality in that specific work area must be monitored.</w:t>
      </w:r>
      <w:r>
        <w:br w:type="page"/>
      </w:r>
    </w:p>
    <w:p>
      <w:pPr>
        <w:pStyle w:val="Normal"/>
        <w:rPr/>
      </w:pPr>
      <w:r>
        <w:rPr/>
      </w:r>
    </w:p>
    <w:p>
      <w:pPr>
        <w:pStyle w:val="Normal"/>
        <w:pBdr>
          <w:bottom w:val="single" w:sz="8" w:space="4" w:color="B91C1C"/>
        </w:pBdr>
        <w:spacing w:before="260" w:after="120"/>
        <w:rPr/>
      </w:pPr>
      <w:r>
        <w:rPr>
          <w:rFonts w:eastAsia="Calibri" w:cs="Calibri"/>
          <w:b/>
          <w:bCs/>
          <w:color w:val="1F2937"/>
          <w:sz w:val="26"/>
          <w:szCs w:val="26"/>
        </w:rPr>
        <w:t>Health Effects of Carbon Monoxide</w:t>
      </w:r>
    </w:p>
    <w:p>
      <w:pPr>
        <w:pStyle w:val="Normal"/>
        <w:spacing w:before="0" w:after="180"/>
        <w:rPr/>
      </w:pPr>
      <w:r>
        <w:rPr>
          <w:rFonts w:eastAsia="Calibri" w:cs="Calibri"/>
          <w:i/>
          <w:iCs/>
          <w:color w:val="6B7280"/>
          <w:sz w:val="20"/>
          <w:szCs w:val="20"/>
        </w:rPr>
        <w:t>CO — Carbon Monoxide Health Effects by Exposure Time</w:t>
      </w:r>
    </w:p>
    <w:tbl>
      <w:tblPr>
        <w:tblW w:w="7200" w:type="dxa"/>
        <w:jc w:val="start"/>
        <w:tblInd w:w="0" w:type="dxa"/>
        <w:tblLayout w:type="fixed"/>
        <w:tblCellMar>
          <w:top w:w="90" w:type="dxa"/>
          <w:start w:w="100" w:type="dxa"/>
          <w:bottom w:w="90" w:type="dxa"/>
          <w:end w:w="100" w:type="dxa"/>
        </w:tblCellMar>
      </w:tblPr>
      <w:tblGrid>
        <w:gridCol w:w="1800"/>
        <w:gridCol w:w="1800"/>
        <w:gridCol w:w="1800"/>
        <w:gridCol w:w="1800"/>
      </w:tblGrid>
      <w:tr>
        <w:trPr/>
        <w:tc>
          <w:tcPr>
            <w:tcW w:w="1800" w:type="dxa"/>
            <w:tcBorders>
              <w:top w:val="single" w:sz="2" w:space="0" w:color="D1D5DB"/>
              <w:start w:val="single" w:sz="2" w:space="0" w:color="D1D5DB"/>
              <w:bottom w:val="single" w:sz="2" w:space="0" w:color="D1D5DB"/>
              <w:end w:val="single" w:sz="2" w:space="0" w:color="D1D5DB"/>
            </w:tcBorders>
            <w:shd w:fill="1F2937" w:val="clear"/>
            <w:vAlign w:val="center"/>
          </w:tcPr>
          <w:p>
            <w:pPr>
              <w:pStyle w:val="Normal"/>
              <w:jc w:val="center"/>
              <w:rPr/>
            </w:pPr>
            <w:r>
              <w:rPr>
                <w:rFonts w:eastAsia="Calibri" w:cs="Calibri"/>
                <w:b/>
                <w:bCs/>
                <w:i w:val="false"/>
                <w:iCs w:val="false"/>
                <w:color w:val="FFFFFF"/>
                <w:sz w:val="20"/>
                <w:szCs w:val="20"/>
              </w:rPr>
              <w:t>Exposure (hours)</w:t>
            </w:r>
          </w:p>
        </w:tc>
        <w:tc>
          <w:tcPr>
            <w:tcW w:w="1800" w:type="dxa"/>
            <w:tcBorders>
              <w:top w:val="single" w:sz="2" w:space="0" w:color="D1D5DB"/>
              <w:start w:val="single" w:sz="2" w:space="0" w:color="D1D5DB"/>
              <w:bottom w:val="single" w:sz="2" w:space="0" w:color="D1D5DB"/>
              <w:end w:val="single" w:sz="2" w:space="0" w:color="D1D5DB"/>
            </w:tcBorders>
            <w:shd w:fill="1F2937" w:val="clear"/>
            <w:vAlign w:val="center"/>
          </w:tcPr>
          <w:p>
            <w:pPr>
              <w:pStyle w:val="Normal"/>
              <w:jc w:val="center"/>
              <w:rPr/>
            </w:pPr>
            <w:r>
              <w:rPr>
                <w:rFonts w:eastAsia="Calibri" w:cs="Calibri"/>
                <w:b/>
                <w:bCs/>
                <w:i w:val="false"/>
                <w:iCs w:val="false"/>
                <w:color w:val="FFFFFF"/>
                <w:sz w:val="20"/>
                <w:szCs w:val="20"/>
              </w:rPr>
              <w:t>Perceptible</w:t>
            </w:r>
          </w:p>
        </w:tc>
        <w:tc>
          <w:tcPr>
            <w:tcW w:w="1800" w:type="dxa"/>
            <w:tcBorders>
              <w:top w:val="single" w:sz="2" w:space="0" w:color="D1D5DB"/>
              <w:start w:val="single" w:sz="2" w:space="0" w:color="D1D5DB"/>
              <w:bottom w:val="single" w:sz="2" w:space="0" w:color="D1D5DB"/>
              <w:end w:val="single" w:sz="2" w:space="0" w:color="D1D5DB"/>
            </w:tcBorders>
            <w:shd w:fill="1F2937" w:val="clear"/>
            <w:vAlign w:val="center"/>
          </w:tcPr>
          <w:p>
            <w:pPr>
              <w:pStyle w:val="Normal"/>
              <w:jc w:val="center"/>
              <w:rPr/>
            </w:pPr>
            <w:r>
              <w:rPr>
                <w:rFonts w:eastAsia="Calibri" w:cs="Calibri"/>
                <w:b/>
                <w:bCs/>
                <w:i w:val="false"/>
                <w:iCs w:val="false"/>
                <w:color w:val="FFFFFF"/>
                <w:sz w:val="20"/>
                <w:szCs w:val="20"/>
              </w:rPr>
              <w:t>Sickness</w:t>
            </w:r>
            <w:r>
              <w:rPr>
                <w:rFonts w:eastAsia="Calibri" w:cs="Calibri"/>
                <w:b/>
                <w:bCs/>
                <w:color w:val="FFFFFF"/>
                <w:sz w:val="14"/>
                <w:szCs w:val="14"/>
                <w:vertAlign w:val="superscript"/>
              </w:rPr>
              <w:t>3)</w:t>
            </w:r>
          </w:p>
        </w:tc>
        <w:tc>
          <w:tcPr>
            <w:tcW w:w="1800" w:type="dxa"/>
            <w:tcBorders>
              <w:top w:val="single" w:sz="2" w:space="0" w:color="D1D5DB"/>
              <w:start w:val="single" w:sz="2" w:space="0" w:color="D1D5DB"/>
              <w:bottom w:val="single" w:sz="2" w:space="0" w:color="D1D5DB"/>
              <w:end w:val="single" w:sz="2" w:space="0" w:color="D1D5DB"/>
            </w:tcBorders>
            <w:shd w:fill="1F2937" w:val="clear"/>
            <w:vAlign w:val="center"/>
          </w:tcPr>
          <w:p>
            <w:pPr>
              <w:pStyle w:val="Normal"/>
              <w:jc w:val="center"/>
              <w:rPr/>
            </w:pPr>
            <w:r>
              <w:rPr>
                <w:rFonts w:eastAsia="Calibri" w:cs="Calibri"/>
                <w:b/>
                <w:bCs/>
                <w:i w:val="false"/>
                <w:iCs w:val="false"/>
                <w:color w:val="FFFFFF"/>
                <w:sz w:val="20"/>
                <w:szCs w:val="20"/>
              </w:rPr>
              <w:t>Deadly</w:t>
            </w:r>
            <w:r>
              <w:rPr>
                <w:rFonts w:eastAsia="Calibri" w:cs="Calibri"/>
                <w:b/>
                <w:bCs/>
                <w:color w:val="FFFFFF"/>
                <w:sz w:val="14"/>
                <w:szCs w:val="14"/>
                <w:vertAlign w:val="superscript"/>
              </w:rPr>
              <w:t>4)</w:t>
            </w:r>
          </w:p>
        </w:tc>
      </w:tr>
      <w:tr>
        <w:trPr/>
        <w:tc>
          <w:tcPr>
            <w:tcW w:w="1800" w:type="dxa"/>
            <w:tcBorders>
              <w:top w:val="single" w:sz="2" w:space="0" w:color="D1D5DB"/>
              <w:start w:val="single" w:sz="2" w:space="0" w:color="D1D5DB"/>
              <w:bottom w:val="single" w:sz="2" w:space="0" w:color="D1D5DB"/>
              <w:end w:val="single" w:sz="2" w:space="0" w:color="D1D5DB"/>
            </w:tcBorders>
            <w:shd w:fill="FFFFFF" w:val="clear"/>
            <w:vAlign w:val="center"/>
          </w:tcPr>
          <w:p>
            <w:pPr>
              <w:pStyle w:val="Normal"/>
              <w:jc w:val="center"/>
              <w:rPr/>
            </w:pPr>
            <w:r>
              <w:rPr>
                <w:rFonts w:eastAsia="Calibri" w:cs="Calibri"/>
                <w:b w:val="false"/>
                <w:bCs w:val="false"/>
                <w:i w:val="false"/>
                <w:iCs w:val="false"/>
                <w:color w:val="111827"/>
                <w:sz w:val="20"/>
                <w:szCs w:val="20"/>
              </w:rPr>
              <w:t>0.5</w:t>
            </w:r>
          </w:p>
        </w:tc>
        <w:tc>
          <w:tcPr>
            <w:tcW w:w="1800" w:type="dxa"/>
            <w:tcBorders>
              <w:top w:val="single" w:sz="2" w:space="0" w:color="D1D5DB"/>
              <w:start w:val="single" w:sz="2" w:space="0" w:color="D1D5DB"/>
              <w:bottom w:val="single" w:sz="2" w:space="0" w:color="D1D5DB"/>
              <w:end w:val="single" w:sz="2" w:space="0" w:color="D1D5DB"/>
            </w:tcBorders>
            <w:shd w:fill="FFFFFF" w:val="clear"/>
            <w:vAlign w:val="center"/>
          </w:tcPr>
          <w:p>
            <w:pPr>
              <w:pStyle w:val="Normal"/>
              <w:jc w:val="center"/>
              <w:rPr/>
            </w:pPr>
            <w:r>
              <w:rPr>
                <w:rFonts w:eastAsia="Calibri" w:cs="Calibri"/>
                <w:b w:val="false"/>
                <w:bCs w:val="false"/>
                <w:i w:val="false"/>
                <w:iCs w:val="false"/>
                <w:color w:val="111827"/>
                <w:sz w:val="20"/>
                <w:szCs w:val="20"/>
              </w:rPr>
              <w:t>600</w:t>
            </w:r>
          </w:p>
        </w:tc>
        <w:tc>
          <w:tcPr>
            <w:tcW w:w="1800" w:type="dxa"/>
            <w:tcBorders>
              <w:top w:val="single" w:sz="2" w:space="0" w:color="D1D5DB"/>
              <w:start w:val="single" w:sz="2" w:space="0" w:color="D1D5DB"/>
              <w:bottom w:val="single" w:sz="2" w:space="0" w:color="D1D5DB"/>
              <w:end w:val="single" w:sz="2" w:space="0" w:color="D1D5DB"/>
            </w:tcBorders>
            <w:shd w:fill="FFFFFF" w:val="clear"/>
            <w:vAlign w:val="center"/>
          </w:tcPr>
          <w:p>
            <w:pPr>
              <w:pStyle w:val="Normal"/>
              <w:jc w:val="center"/>
              <w:rPr/>
            </w:pPr>
            <w:r>
              <w:rPr>
                <w:rFonts w:eastAsia="Calibri" w:cs="Calibri"/>
                <w:b w:val="false"/>
                <w:bCs w:val="false"/>
                <w:i w:val="false"/>
                <w:iCs w:val="false"/>
                <w:color w:val="111827"/>
                <w:sz w:val="20"/>
                <w:szCs w:val="20"/>
              </w:rPr>
              <w:t>1000</w:t>
            </w:r>
          </w:p>
        </w:tc>
        <w:tc>
          <w:tcPr>
            <w:tcW w:w="1800" w:type="dxa"/>
            <w:tcBorders>
              <w:top w:val="single" w:sz="2" w:space="0" w:color="D1D5DB"/>
              <w:start w:val="single" w:sz="2" w:space="0" w:color="D1D5DB"/>
              <w:bottom w:val="single" w:sz="2" w:space="0" w:color="D1D5DB"/>
              <w:end w:val="single" w:sz="2" w:space="0" w:color="D1D5DB"/>
            </w:tcBorders>
            <w:shd w:fill="FFFFFF" w:val="clear"/>
            <w:vAlign w:val="center"/>
          </w:tcPr>
          <w:p>
            <w:pPr>
              <w:pStyle w:val="Normal"/>
              <w:jc w:val="center"/>
              <w:rPr/>
            </w:pPr>
            <w:r>
              <w:rPr>
                <w:rFonts w:eastAsia="Calibri" w:cs="Calibri"/>
                <w:b w:val="false"/>
                <w:bCs w:val="false"/>
                <w:i w:val="false"/>
                <w:iCs w:val="false"/>
                <w:color w:val="111827"/>
                <w:sz w:val="20"/>
                <w:szCs w:val="20"/>
              </w:rPr>
              <w:t>2000</w:t>
            </w:r>
          </w:p>
        </w:tc>
      </w:tr>
      <w:tr>
        <w:trPr/>
        <w:tc>
          <w:tcPr>
            <w:tcW w:w="1800" w:type="dxa"/>
            <w:tcBorders>
              <w:top w:val="single" w:sz="2" w:space="0" w:color="D1D5DB"/>
              <w:start w:val="single" w:sz="2" w:space="0" w:color="D1D5DB"/>
              <w:bottom w:val="single" w:sz="2" w:space="0" w:color="D1D5DB"/>
              <w:end w:val="single" w:sz="2" w:space="0" w:color="D1D5DB"/>
            </w:tcBorders>
            <w:shd w:fill="F3F4F6" w:val="clear"/>
            <w:vAlign w:val="center"/>
          </w:tcPr>
          <w:p>
            <w:pPr>
              <w:pStyle w:val="Normal"/>
              <w:jc w:val="center"/>
              <w:rPr/>
            </w:pPr>
            <w:r>
              <w:rPr>
                <w:rFonts w:eastAsia="Calibri" w:cs="Calibri"/>
                <w:b w:val="false"/>
                <w:bCs w:val="false"/>
                <w:i w:val="false"/>
                <w:iCs w:val="false"/>
                <w:color w:val="111827"/>
                <w:sz w:val="20"/>
                <w:szCs w:val="20"/>
              </w:rPr>
              <w:t>1</w:t>
            </w:r>
          </w:p>
        </w:tc>
        <w:tc>
          <w:tcPr>
            <w:tcW w:w="1800" w:type="dxa"/>
            <w:tcBorders>
              <w:top w:val="single" w:sz="2" w:space="0" w:color="D1D5DB"/>
              <w:start w:val="single" w:sz="2" w:space="0" w:color="D1D5DB"/>
              <w:bottom w:val="single" w:sz="2" w:space="0" w:color="D1D5DB"/>
              <w:end w:val="single" w:sz="2" w:space="0" w:color="D1D5DB"/>
            </w:tcBorders>
            <w:shd w:fill="F3F4F6" w:val="clear"/>
            <w:vAlign w:val="center"/>
          </w:tcPr>
          <w:p>
            <w:pPr>
              <w:pStyle w:val="Normal"/>
              <w:jc w:val="center"/>
              <w:rPr/>
            </w:pPr>
            <w:r>
              <w:rPr>
                <w:rFonts w:eastAsia="Calibri" w:cs="Calibri"/>
                <w:b w:val="false"/>
                <w:bCs w:val="false"/>
                <w:i w:val="false"/>
                <w:iCs w:val="false"/>
                <w:color w:val="111827"/>
                <w:sz w:val="20"/>
                <w:szCs w:val="20"/>
              </w:rPr>
              <w:t>200</w:t>
            </w:r>
          </w:p>
        </w:tc>
        <w:tc>
          <w:tcPr>
            <w:tcW w:w="1800" w:type="dxa"/>
            <w:tcBorders>
              <w:top w:val="single" w:sz="2" w:space="0" w:color="D1D5DB"/>
              <w:start w:val="single" w:sz="2" w:space="0" w:color="D1D5DB"/>
              <w:bottom w:val="single" w:sz="2" w:space="0" w:color="D1D5DB"/>
              <w:end w:val="single" w:sz="2" w:space="0" w:color="D1D5DB"/>
            </w:tcBorders>
            <w:shd w:fill="F3F4F6" w:val="clear"/>
            <w:vAlign w:val="center"/>
          </w:tcPr>
          <w:p>
            <w:pPr>
              <w:pStyle w:val="Normal"/>
              <w:jc w:val="center"/>
              <w:rPr/>
            </w:pPr>
            <w:r>
              <w:rPr>
                <w:rFonts w:eastAsia="Calibri" w:cs="Calibri"/>
                <w:b w:val="false"/>
                <w:bCs w:val="false"/>
                <w:i w:val="false"/>
                <w:iCs w:val="false"/>
                <w:color w:val="111827"/>
                <w:sz w:val="20"/>
                <w:szCs w:val="20"/>
              </w:rPr>
              <w:t>600</w:t>
            </w:r>
          </w:p>
        </w:tc>
        <w:tc>
          <w:tcPr>
            <w:tcW w:w="1800" w:type="dxa"/>
            <w:tcBorders>
              <w:top w:val="single" w:sz="2" w:space="0" w:color="D1D5DB"/>
              <w:start w:val="single" w:sz="2" w:space="0" w:color="D1D5DB"/>
              <w:bottom w:val="single" w:sz="2" w:space="0" w:color="D1D5DB"/>
              <w:end w:val="single" w:sz="2" w:space="0" w:color="D1D5DB"/>
            </w:tcBorders>
            <w:shd w:fill="F3F4F6" w:val="clear"/>
            <w:vAlign w:val="center"/>
          </w:tcPr>
          <w:p>
            <w:pPr>
              <w:pStyle w:val="Normal"/>
              <w:jc w:val="center"/>
              <w:rPr/>
            </w:pPr>
            <w:r>
              <w:rPr>
                <w:rFonts w:eastAsia="Calibri" w:cs="Calibri"/>
                <w:b w:val="false"/>
                <w:bCs w:val="false"/>
                <w:i w:val="false"/>
                <w:iCs w:val="false"/>
                <w:color w:val="111827"/>
                <w:sz w:val="20"/>
                <w:szCs w:val="20"/>
              </w:rPr>
              <w:t>1600</w:t>
            </w:r>
          </w:p>
        </w:tc>
      </w:tr>
      <w:tr>
        <w:trPr/>
        <w:tc>
          <w:tcPr>
            <w:tcW w:w="1800" w:type="dxa"/>
            <w:tcBorders>
              <w:top w:val="single" w:sz="2" w:space="0" w:color="D1D5DB"/>
              <w:start w:val="single" w:sz="2" w:space="0" w:color="D1D5DB"/>
              <w:bottom w:val="single" w:sz="2" w:space="0" w:color="D1D5DB"/>
              <w:end w:val="single" w:sz="2" w:space="0" w:color="D1D5DB"/>
            </w:tcBorders>
            <w:shd w:fill="FFFFFF" w:val="clear"/>
            <w:vAlign w:val="center"/>
          </w:tcPr>
          <w:p>
            <w:pPr>
              <w:pStyle w:val="Normal"/>
              <w:jc w:val="center"/>
              <w:rPr/>
            </w:pPr>
            <w:r>
              <w:rPr>
                <w:rFonts w:eastAsia="Calibri" w:cs="Calibri"/>
                <w:b w:val="false"/>
                <w:bCs w:val="false"/>
                <w:i w:val="false"/>
                <w:iCs w:val="false"/>
                <w:color w:val="111827"/>
                <w:sz w:val="20"/>
                <w:szCs w:val="20"/>
              </w:rPr>
              <w:t>2</w:t>
            </w:r>
          </w:p>
        </w:tc>
        <w:tc>
          <w:tcPr>
            <w:tcW w:w="1800" w:type="dxa"/>
            <w:tcBorders>
              <w:top w:val="single" w:sz="2" w:space="0" w:color="D1D5DB"/>
              <w:start w:val="single" w:sz="2" w:space="0" w:color="D1D5DB"/>
              <w:bottom w:val="single" w:sz="2" w:space="0" w:color="D1D5DB"/>
              <w:end w:val="single" w:sz="2" w:space="0" w:color="D1D5DB"/>
            </w:tcBorders>
            <w:shd w:fill="FFFFFF" w:val="clear"/>
            <w:vAlign w:val="center"/>
          </w:tcPr>
          <w:p>
            <w:pPr>
              <w:pStyle w:val="Normal"/>
              <w:jc w:val="center"/>
              <w:rPr/>
            </w:pPr>
            <w:r>
              <w:rPr>
                <w:rFonts w:eastAsia="Calibri" w:cs="Calibri"/>
                <w:b w:val="false"/>
                <w:bCs w:val="false"/>
                <w:i w:val="false"/>
                <w:iCs w:val="false"/>
                <w:color w:val="111827"/>
                <w:sz w:val="20"/>
                <w:szCs w:val="20"/>
              </w:rPr>
              <w:t>100</w:t>
            </w:r>
          </w:p>
        </w:tc>
        <w:tc>
          <w:tcPr>
            <w:tcW w:w="1800" w:type="dxa"/>
            <w:tcBorders>
              <w:top w:val="single" w:sz="2" w:space="0" w:color="D1D5DB"/>
              <w:start w:val="single" w:sz="2" w:space="0" w:color="D1D5DB"/>
              <w:bottom w:val="single" w:sz="2" w:space="0" w:color="D1D5DB"/>
              <w:end w:val="single" w:sz="2" w:space="0" w:color="D1D5DB"/>
            </w:tcBorders>
            <w:shd w:fill="FFFFFF" w:val="clear"/>
            <w:vAlign w:val="center"/>
          </w:tcPr>
          <w:p>
            <w:pPr>
              <w:pStyle w:val="Normal"/>
              <w:jc w:val="center"/>
              <w:rPr/>
            </w:pPr>
            <w:r>
              <w:rPr>
                <w:rFonts w:eastAsia="Calibri" w:cs="Calibri"/>
                <w:b w:val="false"/>
                <w:bCs w:val="false"/>
                <w:i w:val="false"/>
                <w:iCs w:val="false"/>
                <w:color w:val="111827"/>
                <w:sz w:val="20"/>
                <w:szCs w:val="20"/>
              </w:rPr>
              <w:t>300</w:t>
            </w:r>
          </w:p>
        </w:tc>
        <w:tc>
          <w:tcPr>
            <w:tcW w:w="1800" w:type="dxa"/>
            <w:tcBorders>
              <w:top w:val="single" w:sz="2" w:space="0" w:color="D1D5DB"/>
              <w:start w:val="single" w:sz="2" w:space="0" w:color="D1D5DB"/>
              <w:bottom w:val="single" w:sz="2" w:space="0" w:color="D1D5DB"/>
              <w:end w:val="single" w:sz="2" w:space="0" w:color="D1D5DB"/>
            </w:tcBorders>
            <w:shd w:fill="FFFFFF" w:val="clear"/>
            <w:vAlign w:val="center"/>
          </w:tcPr>
          <w:p>
            <w:pPr>
              <w:pStyle w:val="Normal"/>
              <w:jc w:val="center"/>
              <w:rPr/>
            </w:pPr>
            <w:r>
              <w:rPr>
                <w:rFonts w:eastAsia="Calibri" w:cs="Calibri"/>
                <w:b w:val="false"/>
                <w:bCs w:val="false"/>
                <w:i w:val="false"/>
                <w:iCs w:val="false"/>
                <w:color w:val="111827"/>
                <w:sz w:val="20"/>
                <w:szCs w:val="20"/>
              </w:rPr>
              <w:t>1000</w:t>
            </w:r>
          </w:p>
        </w:tc>
      </w:tr>
      <w:tr>
        <w:trPr/>
        <w:tc>
          <w:tcPr>
            <w:tcW w:w="1800" w:type="dxa"/>
            <w:tcBorders>
              <w:top w:val="single" w:sz="2" w:space="0" w:color="D1D5DB"/>
              <w:start w:val="single" w:sz="2" w:space="0" w:color="D1D5DB"/>
              <w:bottom w:val="single" w:sz="2" w:space="0" w:color="D1D5DB"/>
              <w:end w:val="single" w:sz="2" w:space="0" w:color="D1D5DB"/>
            </w:tcBorders>
            <w:shd w:fill="F3F4F6" w:val="clear"/>
            <w:vAlign w:val="center"/>
          </w:tcPr>
          <w:p>
            <w:pPr>
              <w:pStyle w:val="Normal"/>
              <w:jc w:val="center"/>
              <w:rPr/>
            </w:pPr>
            <w:r>
              <w:rPr>
                <w:rFonts w:eastAsia="Calibri" w:cs="Calibri"/>
                <w:b w:val="false"/>
                <w:bCs w:val="false"/>
                <w:i w:val="false"/>
                <w:iCs w:val="false"/>
                <w:color w:val="111827"/>
                <w:sz w:val="20"/>
                <w:szCs w:val="20"/>
              </w:rPr>
              <w:t>4</w:t>
            </w:r>
          </w:p>
        </w:tc>
        <w:tc>
          <w:tcPr>
            <w:tcW w:w="1800" w:type="dxa"/>
            <w:tcBorders>
              <w:top w:val="single" w:sz="2" w:space="0" w:color="D1D5DB"/>
              <w:start w:val="single" w:sz="2" w:space="0" w:color="D1D5DB"/>
              <w:bottom w:val="single" w:sz="2" w:space="0" w:color="D1D5DB"/>
              <w:end w:val="single" w:sz="2" w:space="0" w:color="D1D5DB"/>
            </w:tcBorders>
            <w:shd w:fill="F3F4F6" w:val="clear"/>
            <w:vAlign w:val="center"/>
          </w:tcPr>
          <w:p>
            <w:pPr>
              <w:pStyle w:val="Normal"/>
              <w:jc w:val="center"/>
              <w:rPr/>
            </w:pPr>
            <w:r>
              <w:rPr>
                <w:rFonts w:eastAsia="Calibri" w:cs="Calibri"/>
                <w:b w:val="false"/>
                <w:bCs w:val="false"/>
                <w:i w:val="false"/>
                <w:iCs w:val="false"/>
                <w:color w:val="111827"/>
                <w:sz w:val="20"/>
                <w:szCs w:val="20"/>
              </w:rPr>
              <w:t>50</w:t>
            </w:r>
          </w:p>
        </w:tc>
        <w:tc>
          <w:tcPr>
            <w:tcW w:w="1800" w:type="dxa"/>
            <w:tcBorders>
              <w:top w:val="single" w:sz="2" w:space="0" w:color="D1D5DB"/>
              <w:start w:val="single" w:sz="2" w:space="0" w:color="D1D5DB"/>
              <w:bottom w:val="single" w:sz="2" w:space="0" w:color="D1D5DB"/>
              <w:end w:val="single" w:sz="2" w:space="0" w:color="D1D5DB"/>
            </w:tcBorders>
            <w:shd w:fill="F3F4F6" w:val="clear"/>
            <w:vAlign w:val="center"/>
          </w:tcPr>
          <w:p>
            <w:pPr>
              <w:pStyle w:val="Normal"/>
              <w:jc w:val="center"/>
              <w:rPr/>
            </w:pPr>
            <w:r>
              <w:rPr>
                <w:rFonts w:eastAsia="Calibri" w:cs="Calibri"/>
                <w:b w:val="false"/>
                <w:bCs w:val="false"/>
                <w:i w:val="false"/>
                <w:iCs w:val="false"/>
                <w:color w:val="111827"/>
                <w:sz w:val="20"/>
                <w:szCs w:val="20"/>
              </w:rPr>
              <w:t>150</w:t>
            </w:r>
          </w:p>
        </w:tc>
        <w:tc>
          <w:tcPr>
            <w:tcW w:w="1800" w:type="dxa"/>
            <w:tcBorders>
              <w:top w:val="single" w:sz="2" w:space="0" w:color="D1D5DB"/>
              <w:start w:val="single" w:sz="2" w:space="0" w:color="D1D5DB"/>
              <w:bottom w:val="single" w:sz="2" w:space="0" w:color="D1D5DB"/>
              <w:end w:val="single" w:sz="2" w:space="0" w:color="D1D5DB"/>
            </w:tcBorders>
            <w:shd w:fill="F3F4F6" w:val="clear"/>
            <w:vAlign w:val="center"/>
          </w:tcPr>
          <w:p>
            <w:pPr>
              <w:pStyle w:val="Normal"/>
              <w:jc w:val="center"/>
              <w:rPr/>
            </w:pPr>
            <w:r>
              <w:rPr>
                <w:rFonts w:eastAsia="Calibri" w:cs="Calibri"/>
                <w:b w:val="false"/>
                <w:bCs w:val="false"/>
                <w:i w:val="false"/>
                <w:iCs w:val="false"/>
                <w:color w:val="111827"/>
                <w:sz w:val="20"/>
                <w:szCs w:val="20"/>
              </w:rPr>
              <w:t>400</w:t>
            </w:r>
          </w:p>
        </w:tc>
      </w:tr>
      <w:tr>
        <w:trPr/>
        <w:tc>
          <w:tcPr>
            <w:tcW w:w="1800" w:type="dxa"/>
            <w:tcBorders>
              <w:top w:val="single" w:sz="2" w:space="0" w:color="D1D5DB"/>
              <w:start w:val="single" w:sz="2" w:space="0" w:color="D1D5DB"/>
              <w:bottom w:val="single" w:sz="2" w:space="0" w:color="D1D5DB"/>
              <w:end w:val="single" w:sz="2" w:space="0" w:color="D1D5DB"/>
            </w:tcBorders>
            <w:shd w:fill="FFFFFF" w:val="clear"/>
            <w:vAlign w:val="center"/>
          </w:tcPr>
          <w:p>
            <w:pPr>
              <w:pStyle w:val="Normal"/>
              <w:jc w:val="center"/>
              <w:rPr/>
            </w:pPr>
            <w:r>
              <w:rPr>
                <w:rFonts w:eastAsia="Calibri" w:cs="Calibri"/>
                <w:b w:val="false"/>
                <w:bCs w:val="false"/>
                <w:i w:val="false"/>
                <w:iCs w:val="false"/>
                <w:color w:val="111827"/>
                <w:sz w:val="20"/>
                <w:szCs w:val="20"/>
              </w:rPr>
              <w:t>6</w:t>
            </w:r>
          </w:p>
        </w:tc>
        <w:tc>
          <w:tcPr>
            <w:tcW w:w="1800" w:type="dxa"/>
            <w:tcBorders>
              <w:top w:val="single" w:sz="2" w:space="0" w:color="D1D5DB"/>
              <w:start w:val="single" w:sz="2" w:space="0" w:color="D1D5DB"/>
              <w:bottom w:val="single" w:sz="2" w:space="0" w:color="D1D5DB"/>
              <w:end w:val="single" w:sz="2" w:space="0" w:color="D1D5DB"/>
            </w:tcBorders>
            <w:shd w:fill="FFFFFF" w:val="clear"/>
            <w:vAlign w:val="center"/>
          </w:tcPr>
          <w:p>
            <w:pPr>
              <w:pStyle w:val="Normal"/>
              <w:jc w:val="center"/>
              <w:rPr/>
            </w:pPr>
            <w:r>
              <w:rPr>
                <w:rFonts w:eastAsia="Calibri" w:cs="Calibri"/>
                <w:b w:val="false"/>
                <w:bCs w:val="false"/>
                <w:i w:val="false"/>
                <w:iCs w:val="false"/>
                <w:color w:val="111827"/>
                <w:sz w:val="20"/>
                <w:szCs w:val="20"/>
              </w:rPr>
              <w:t>25</w:t>
            </w:r>
          </w:p>
        </w:tc>
        <w:tc>
          <w:tcPr>
            <w:tcW w:w="1800" w:type="dxa"/>
            <w:tcBorders>
              <w:top w:val="single" w:sz="2" w:space="0" w:color="D1D5DB"/>
              <w:start w:val="single" w:sz="2" w:space="0" w:color="D1D5DB"/>
              <w:bottom w:val="single" w:sz="2" w:space="0" w:color="D1D5DB"/>
              <w:end w:val="single" w:sz="2" w:space="0" w:color="D1D5DB"/>
            </w:tcBorders>
            <w:shd w:fill="FFFFFF" w:val="clear"/>
            <w:vAlign w:val="center"/>
          </w:tcPr>
          <w:p>
            <w:pPr>
              <w:pStyle w:val="Normal"/>
              <w:jc w:val="center"/>
              <w:rPr/>
            </w:pPr>
            <w:r>
              <w:rPr>
                <w:rFonts w:eastAsia="Calibri" w:cs="Calibri"/>
                <w:b w:val="false"/>
                <w:bCs w:val="false"/>
                <w:i w:val="false"/>
                <w:iCs w:val="false"/>
                <w:color w:val="111827"/>
                <w:sz w:val="20"/>
                <w:szCs w:val="20"/>
              </w:rPr>
              <w:t>120</w:t>
            </w:r>
          </w:p>
        </w:tc>
        <w:tc>
          <w:tcPr>
            <w:tcW w:w="1800" w:type="dxa"/>
            <w:tcBorders>
              <w:top w:val="single" w:sz="2" w:space="0" w:color="D1D5DB"/>
              <w:start w:val="single" w:sz="2" w:space="0" w:color="D1D5DB"/>
              <w:bottom w:val="single" w:sz="2" w:space="0" w:color="D1D5DB"/>
              <w:end w:val="single" w:sz="2" w:space="0" w:color="D1D5DB"/>
            </w:tcBorders>
            <w:shd w:fill="FFFFFF" w:val="clear"/>
            <w:vAlign w:val="center"/>
          </w:tcPr>
          <w:p>
            <w:pPr>
              <w:pStyle w:val="Normal"/>
              <w:jc w:val="center"/>
              <w:rPr/>
            </w:pPr>
            <w:r>
              <w:rPr>
                <w:rFonts w:eastAsia="Calibri" w:cs="Calibri"/>
                <w:b w:val="false"/>
                <w:bCs w:val="false"/>
                <w:i w:val="false"/>
                <w:iCs w:val="false"/>
                <w:color w:val="111827"/>
                <w:sz w:val="20"/>
                <w:szCs w:val="20"/>
              </w:rPr>
              <w:t>200</w:t>
            </w:r>
          </w:p>
        </w:tc>
      </w:tr>
      <w:tr>
        <w:trPr/>
        <w:tc>
          <w:tcPr>
            <w:tcW w:w="1800" w:type="dxa"/>
            <w:tcBorders>
              <w:top w:val="single" w:sz="2" w:space="0" w:color="D1D5DB"/>
              <w:start w:val="single" w:sz="2" w:space="0" w:color="D1D5DB"/>
              <w:bottom w:val="single" w:sz="2" w:space="0" w:color="D1D5DB"/>
              <w:end w:val="single" w:sz="2" w:space="0" w:color="D1D5DB"/>
            </w:tcBorders>
            <w:shd w:fill="F3F4F6" w:val="clear"/>
            <w:vAlign w:val="center"/>
          </w:tcPr>
          <w:p>
            <w:pPr>
              <w:pStyle w:val="Normal"/>
              <w:jc w:val="center"/>
              <w:rPr/>
            </w:pPr>
            <w:r>
              <w:rPr>
                <w:rFonts w:eastAsia="Calibri" w:cs="Calibri"/>
                <w:b w:val="false"/>
                <w:bCs w:val="false"/>
                <w:i w:val="false"/>
                <w:iCs w:val="false"/>
                <w:color w:val="111827"/>
                <w:sz w:val="20"/>
                <w:szCs w:val="20"/>
              </w:rPr>
              <w:t>8</w:t>
            </w:r>
          </w:p>
        </w:tc>
        <w:tc>
          <w:tcPr>
            <w:tcW w:w="1800" w:type="dxa"/>
            <w:tcBorders>
              <w:top w:val="single" w:sz="2" w:space="0" w:color="D1D5DB"/>
              <w:start w:val="single" w:sz="2" w:space="0" w:color="D1D5DB"/>
              <w:bottom w:val="single" w:sz="2" w:space="0" w:color="D1D5DB"/>
              <w:end w:val="single" w:sz="2" w:space="0" w:color="D1D5DB"/>
            </w:tcBorders>
            <w:shd w:fill="F3F4F6" w:val="clear"/>
            <w:vAlign w:val="center"/>
          </w:tcPr>
          <w:p>
            <w:pPr>
              <w:pStyle w:val="Normal"/>
              <w:jc w:val="center"/>
              <w:rPr/>
            </w:pPr>
            <w:r>
              <w:rPr>
                <w:rFonts w:eastAsia="Calibri" w:cs="Calibri"/>
                <w:b w:val="false"/>
                <w:bCs w:val="false"/>
                <w:i w:val="false"/>
                <w:iCs w:val="false"/>
                <w:color w:val="111827"/>
                <w:sz w:val="20"/>
                <w:szCs w:val="20"/>
              </w:rPr>
              <w:t>25</w:t>
            </w:r>
            <w:r>
              <w:rPr>
                <w:rFonts w:eastAsia="Calibri" w:cs="Calibri"/>
                <w:b w:val="false"/>
                <w:bCs w:val="false"/>
                <w:color w:val="111827"/>
                <w:sz w:val="14"/>
                <w:szCs w:val="14"/>
                <w:vertAlign w:val="superscript"/>
              </w:rPr>
              <w:t>2)</w:t>
            </w:r>
          </w:p>
        </w:tc>
        <w:tc>
          <w:tcPr>
            <w:tcW w:w="1800" w:type="dxa"/>
            <w:tcBorders>
              <w:top w:val="single" w:sz="2" w:space="0" w:color="D1D5DB"/>
              <w:start w:val="single" w:sz="2" w:space="0" w:color="D1D5DB"/>
              <w:bottom w:val="single" w:sz="2" w:space="0" w:color="D1D5DB"/>
              <w:end w:val="single" w:sz="2" w:space="0" w:color="D1D5DB"/>
            </w:tcBorders>
            <w:shd w:fill="F3F4F6" w:val="clear"/>
            <w:vAlign w:val="center"/>
          </w:tcPr>
          <w:p>
            <w:pPr>
              <w:pStyle w:val="Normal"/>
              <w:jc w:val="center"/>
              <w:rPr/>
            </w:pPr>
            <w:r>
              <w:rPr>
                <w:rFonts w:eastAsia="Calibri" w:cs="Calibri"/>
                <w:b w:val="false"/>
                <w:bCs w:val="false"/>
                <w:i w:val="false"/>
                <w:iCs w:val="false"/>
                <w:color w:val="111827"/>
                <w:sz w:val="20"/>
                <w:szCs w:val="20"/>
              </w:rPr>
              <w:t>100</w:t>
            </w:r>
          </w:p>
        </w:tc>
        <w:tc>
          <w:tcPr>
            <w:tcW w:w="1800" w:type="dxa"/>
            <w:tcBorders>
              <w:top w:val="single" w:sz="2" w:space="0" w:color="D1D5DB"/>
              <w:start w:val="single" w:sz="2" w:space="0" w:color="D1D5DB"/>
              <w:bottom w:val="single" w:sz="2" w:space="0" w:color="D1D5DB"/>
              <w:end w:val="single" w:sz="2" w:space="0" w:color="D1D5DB"/>
            </w:tcBorders>
            <w:shd w:fill="F3F4F6" w:val="clear"/>
            <w:vAlign w:val="center"/>
          </w:tcPr>
          <w:p>
            <w:pPr>
              <w:pStyle w:val="Normal"/>
              <w:jc w:val="center"/>
              <w:rPr/>
            </w:pPr>
            <w:r>
              <w:rPr>
                <w:rFonts w:eastAsia="Calibri" w:cs="Calibri"/>
                <w:b w:val="false"/>
                <w:bCs w:val="false"/>
                <w:i w:val="false"/>
                <w:iCs w:val="false"/>
                <w:color w:val="111827"/>
                <w:sz w:val="20"/>
                <w:szCs w:val="20"/>
              </w:rPr>
              <w:t>150</w:t>
            </w:r>
          </w:p>
        </w:tc>
      </w:tr>
    </w:tbl>
    <w:p>
      <w:pPr>
        <w:pStyle w:val="Normal"/>
        <w:spacing w:before="0" w:after="320"/>
        <w:rPr/>
      </w:pPr>
      <w:r>
        <w:rPr/>
      </w:r>
    </w:p>
    <w:p>
      <w:pPr>
        <w:pStyle w:val="Normal"/>
        <w:jc w:val="center"/>
        <w:rPr/>
      </w:pPr>
      <w:r>
        <w:rPr/>
        <w:drawing>
          <wp:inline distT="0" distB="0" distL="0" distR="0">
            <wp:extent cx="4000500" cy="3810000"/>
            <wp:effectExtent l="0" t="0" r="0" b="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3"/>
                    <a:stretch>
                      <a:fillRect/>
                    </a:stretch>
                  </pic:blipFill>
                  <pic:spPr bwMode="auto">
                    <a:xfrm>
                      <a:off x="0" y="0"/>
                      <a:ext cx="4000500" cy="3810000"/>
                    </a:xfrm>
                    <a:prstGeom prst="rect">
                      <a:avLst/>
                    </a:prstGeom>
                    <a:noFill/>
                  </pic:spPr>
                </pic:pic>
              </a:graphicData>
            </a:graphic>
          </wp:inline>
        </w:drawing>
      </w:r>
    </w:p>
    <w:p>
      <w:pPr>
        <w:pStyle w:val="Normal"/>
        <w:spacing w:before="100" w:after="0"/>
        <w:jc w:val="center"/>
        <w:rPr/>
      </w:pPr>
      <w:r>
        <w:rPr>
          <w:rFonts w:eastAsia="Calibri" w:cs="Calibri"/>
          <w:i/>
          <w:iCs/>
          <w:color w:val="6B7280"/>
          <w:sz w:val="16"/>
          <w:szCs w:val="16"/>
        </w:rPr>
        <w:t>Source: The Engineering ToolBox</w:t>
      </w:r>
    </w:p>
    <w:sectPr>
      <w:headerReference w:type="even" r:id="rId4"/>
      <w:headerReference w:type="default" r:id="rId5"/>
      <w:headerReference w:type="first" r:id="rId6"/>
      <w:footerReference w:type="even" r:id="rId7"/>
      <w:footerReference w:type="default" r:id="rId8"/>
      <w:footerReference w:type="first" r:id="rId9"/>
      <w:type w:val="nextPage"/>
      <w:pgSz w:w="12240" w:h="15840"/>
      <w:pgMar w:left="1080" w:right="1080" w:gutter="0" w:header="708" w:top="1080" w:footer="708" w:bottom="108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Liberation Sans">
    <w:altName w:val="Arial"/>
    <w:charset w:val="00" w:characterSet="windows-1252"/>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rFonts w:eastAsia="Calibri" w:cs="Calibri"/>
        <w:color w:val="6B7280"/>
        <w:sz w:val="16"/>
        <w:szCs w:val="16"/>
      </w:rPr>
      <w:t xml:space="preserve">eOHS — Entertainment Occupational Health &amp; Safety   ·   Page </w:t>
    </w:r>
    <w:r>
      <w:rPr>
        <w:rFonts w:eastAsia="Calibri" w:cs="Calibri"/>
        <w:i/>
        <w:iCs/>
        <w:color w:val="6B7280"/>
        <w:sz w:val="16"/>
        <w:szCs w:val="16"/>
      </w:rPr>
      <w:fldChar w:fldCharType="begin"/>
    </w:r>
    <w:r>
      <w:rPr>
        <w:rFonts w:eastAsia="Calibri" w:cs="Calibri"/>
        <w:i/>
        <w:iCs/>
        <w:color w:val="6B7280"/>
        <w:sz w:val="16"/>
        <w:szCs w:val="16"/>
      </w:rPr>
      <w:instrText xml:space="preserve"> PAGE </w:instrText>
    </w:r>
    <w:r>
      <w:rPr>
        <w:rFonts w:eastAsia="Calibri" w:cs="Calibri"/>
        <w:i/>
        <w:iCs/>
        <w:color w:val="6B7280"/>
        <w:sz w:val="16"/>
        <w:szCs w:val="16"/>
      </w:rPr>
      <w:fldChar w:fldCharType="separate"/>
    </w:r>
    <w:r>
      <w:rPr>
        <w:rFonts w:eastAsia="Calibri" w:cs="Calibri"/>
        <w:i/>
        <w:iCs/>
        <w:color w:val="6B7280"/>
        <w:sz w:val="16"/>
        <w:szCs w:val="16"/>
      </w:rPr>
      <w:t>2</w:t>
    </w:r>
    <w:r>
      <w:rPr>
        <w:rFonts w:eastAsia="Calibri" w:cs="Calibri"/>
        <w:i/>
        <w:iCs/>
        <w:color w:val="6B7280"/>
        <w:sz w:val="16"/>
        <w:szCs w:val="16"/>
      </w:rPr>
      <w:fldChar w:fldCharType="end"/>
    </w:r>
    <w:r>
      <w:rPr>
        <w:rFonts w:eastAsia="Calibri" w:cs="Calibri"/>
        <w:color w:val="6B7280"/>
        <w:sz w:val="16"/>
        <w:szCs w:val="16"/>
      </w:rPr>
      <w:t xml:space="preserve"> of </w:t>
    </w:r>
    <w:r>
      <w:rPr>
        <w:rFonts w:eastAsia="Calibri" w:cs="Calibri"/>
        <w:i/>
        <w:iCs/>
        <w:color w:val="6B7280"/>
        <w:sz w:val="16"/>
        <w:szCs w:val="16"/>
      </w:rPr>
      <w:fldChar w:fldCharType="begin"/>
    </w:r>
    <w:r>
      <w:rPr>
        <w:rFonts w:eastAsia="Calibri" w:cs="Calibri"/>
        <w:i/>
        <w:iCs/>
        <w:color w:val="6B7280"/>
        <w:sz w:val="16"/>
        <w:szCs w:val="16"/>
      </w:rPr>
      <w:instrText xml:space="preserve"> NUMPAGES </w:instrText>
    </w:r>
    <w:r>
      <w:rPr>
        <w:rFonts w:eastAsia="Calibri" w:cs="Calibri"/>
        <w:i/>
        <w:iCs/>
        <w:color w:val="6B7280"/>
        <w:sz w:val="16"/>
        <w:szCs w:val="16"/>
      </w:rPr>
      <w:fldChar w:fldCharType="separate"/>
    </w:r>
    <w:r>
      <w:rPr>
        <w:rFonts w:eastAsia="Calibri" w:cs="Calibri"/>
        <w:i/>
        <w:iCs/>
        <w:color w:val="6B7280"/>
        <w:sz w:val="16"/>
        <w:szCs w:val="16"/>
      </w:rPr>
      <w:t>2</w:t>
    </w:r>
    <w:r>
      <w:rPr>
        <w:rFonts w:eastAsia="Calibri" w:cs="Calibri"/>
        <w:i/>
        <w:iCs/>
        <w:color w:val="6B7280"/>
        <w:sz w:val="16"/>
        <w:szCs w:val="16"/>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rFonts w:eastAsia="Calibri" w:cs="Calibri"/>
        <w:color w:val="6B7280"/>
        <w:sz w:val="16"/>
        <w:szCs w:val="16"/>
      </w:rPr>
      <w:t xml:space="preserve">eOHS — Entertainment Occupational Health &amp; Safety   ·   Page </w:t>
    </w:r>
    <w:r>
      <w:rPr>
        <w:rFonts w:eastAsia="Calibri" w:cs="Calibri"/>
        <w:i/>
        <w:iCs/>
        <w:color w:val="6B7280"/>
        <w:sz w:val="16"/>
        <w:szCs w:val="16"/>
      </w:rPr>
      <w:fldChar w:fldCharType="begin"/>
    </w:r>
    <w:r>
      <w:rPr>
        <w:rFonts w:eastAsia="Calibri" w:cs="Calibri"/>
        <w:i/>
        <w:iCs/>
        <w:color w:val="6B7280"/>
        <w:sz w:val="16"/>
        <w:szCs w:val="16"/>
      </w:rPr>
      <w:instrText xml:space="preserve"> PAGE </w:instrText>
    </w:r>
    <w:r>
      <w:rPr>
        <w:rFonts w:eastAsia="Calibri" w:cs="Calibri"/>
        <w:i/>
        <w:iCs/>
        <w:color w:val="6B7280"/>
        <w:sz w:val="16"/>
        <w:szCs w:val="16"/>
      </w:rPr>
      <w:fldChar w:fldCharType="separate"/>
    </w:r>
    <w:r>
      <w:rPr>
        <w:rFonts w:eastAsia="Calibri" w:cs="Calibri"/>
        <w:i/>
        <w:iCs/>
        <w:color w:val="6B7280"/>
        <w:sz w:val="16"/>
        <w:szCs w:val="16"/>
      </w:rPr>
      <w:t>2</w:t>
    </w:r>
    <w:r>
      <w:rPr>
        <w:rFonts w:eastAsia="Calibri" w:cs="Calibri"/>
        <w:i/>
        <w:iCs/>
        <w:color w:val="6B7280"/>
        <w:sz w:val="16"/>
        <w:szCs w:val="16"/>
      </w:rPr>
      <w:fldChar w:fldCharType="end"/>
    </w:r>
    <w:r>
      <w:rPr>
        <w:rFonts w:eastAsia="Calibri" w:cs="Calibri"/>
        <w:color w:val="6B7280"/>
        <w:sz w:val="16"/>
        <w:szCs w:val="16"/>
      </w:rPr>
      <w:t xml:space="preserve"> of </w:t>
    </w:r>
    <w:r>
      <w:rPr>
        <w:rFonts w:eastAsia="Calibri" w:cs="Calibri"/>
        <w:i/>
        <w:iCs/>
        <w:color w:val="6B7280"/>
        <w:sz w:val="16"/>
        <w:szCs w:val="16"/>
      </w:rPr>
      <w:fldChar w:fldCharType="begin"/>
    </w:r>
    <w:r>
      <w:rPr>
        <w:rFonts w:eastAsia="Calibri" w:cs="Calibri"/>
        <w:i/>
        <w:iCs/>
        <w:color w:val="6B7280"/>
        <w:sz w:val="16"/>
        <w:szCs w:val="16"/>
      </w:rPr>
      <w:instrText xml:space="preserve"> NUMPAGES </w:instrText>
    </w:r>
    <w:r>
      <w:rPr>
        <w:rFonts w:eastAsia="Calibri" w:cs="Calibri"/>
        <w:i/>
        <w:iCs/>
        <w:color w:val="6B7280"/>
        <w:sz w:val="16"/>
        <w:szCs w:val="16"/>
      </w:rPr>
      <w:fldChar w:fldCharType="separate"/>
    </w:r>
    <w:r>
      <w:rPr>
        <w:rFonts w:eastAsia="Calibri" w:cs="Calibri"/>
        <w:i/>
        <w:iCs/>
        <w:color w:val="6B7280"/>
        <w:sz w:val="16"/>
        <w:szCs w:val="16"/>
      </w:rPr>
      <w:t>2</w:t>
    </w:r>
    <w:r>
      <w:rPr>
        <w:rFonts w:eastAsia="Calibri" w:cs="Calibri"/>
        <w:i/>
        <w:iCs/>
        <w:color w:val="6B7280"/>
        <w:sz w:val="16"/>
        <w:szCs w:val="16"/>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Fonts w:eastAsia="Calibri" w:cs="Calibri"/>
        <w:color w:val="6B7280"/>
        <w:sz w:val="16"/>
        <w:szCs w:val="16"/>
      </w:rPr>
      <w:t>Broadway — Air Extraction Protocol</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Fonts w:eastAsia="Calibri" w:cs="Calibri"/>
        <w:color w:val="6B7280"/>
        <w:sz w:val="16"/>
        <w:szCs w:val="16"/>
      </w:rPr>
      <w:t>Broadway — Air Extraction Protocol</w:t>
    </w:r>
  </w:p>
</w:hdr>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sz w:val="22"/>
        <w:szCs w:val="22"/>
        <w:lang w:val="en-US" w:eastAsia="zh-CN" w:bidi="hi-IN"/>
      </w:rPr>
    </w:rPrDefault>
    <w:pPrDefault>
      <w:pPr>
        <w:suppressAutoHyphens w:val="true"/>
      </w:pPr>
    </w:pPrDefault>
  </w:docDefaults>
  <w:style w:type="paragraph" w:styleId="Normal">
    <w:name w:val="Normal"/>
    <w:qFormat/>
    <w:pPr>
      <w:widowControl/>
      <w:bidi w:val="0"/>
      <w:spacing w:before="0" w:after="0"/>
      <w:jc w:val="start"/>
    </w:pPr>
    <w:rPr>
      <w:rFonts w:ascii="Calibri" w:hAnsi="Calibri" w:eastAsia="Calibri" w:cs="Calibri"/>
      <w:color w:val="auto"/>
      <w:kern w:val="0"/>
      <w:sz w:val="22"/>
      <w:szCs w:val="22"/>
      <w:lang w:val="en-US" w:eastAsia="zh-CN" w:bidi="hi-IN"/>
    </w:rPr>
  </w:style>
  <w:style w:type="paragraph" w:styleId="Heading1">
    <w:name w:val="heading 1"/>
    <w:basedOn w:val="Heading"/>
    <w:qFormat/>
    <w:pPr/>
    <w:rPr>
      <w:color w:val="2E74B5"/>
      <w:sz w:val="32"/>
      <w:szCs w:val="32"/>
    </w:rPr>
  </w:style>
  <w:style w:type="paragraph" w:styleId="Heading2">
    <w:name w:val="heading 2"/>
    <w:basedOn w:val="Heading"/>
    <w:qFormat/>
    <w:pPr/>
    <w:rPr>
      <w:color w:val="2E74B5"/>
      <w:sz w:val="26"/>
      <w:szCs w:val="26"/>
    </w:rPr>
  </w:style>
  <w:style w:type="paragraph" w:styleId="Heading3">
    <w:name w:val="heading 3"/>
    <w:basedOn w:val="Heading"/>
    <w:qFormat/>
    <w:pPr/>
    <w:rPr>
      <w:color w:val="1F4D78"/>
      <w:sz w:val="24"/>
      <w:szCs w:val="24"/>
    </w:rPr>
  </w:style>
  <w:style w:type="paragraph" w:styleId="Heading4">
    <w:name w:val="heading 4"/>
    <w:basedOn w:val="Heading"/>
    <w:qFormat/>
    <w:pPr/>
    <w:rPr>
      <w:i/>
      <w:iCs/>
      <w:color w:val="2E74B5"/>
    </w:rPr>
  </w:style>
  <w:style w:type="paragraph" w:styleId="Heading5">
    <w:name w:val="heading 5"/>
    <w:basedOn w:val="Heading"/>
    <w:qFormat/>
    <w:pPr/>
    <w:rPr>
      <w:color w:val="2E74B5"/>
    </w:rPr>
  </w:style>
  <w:style w:type="paragraph" w:styleId="Heading6">
    <w:name w:val="heading 6"/>
    <w:basedOn w:val="Heading"/>
    <w:qFormat/>
    <w:pPr/>
    <w:rPr>
      <w:color w:val="1F4D78"/>
    </w:rPr>
  </w:style>
  <w:style w:type="character" w:styleId="Hyperlink">
    <w:name w:val="Hyperlink"/>
    <w:uiPriority w:val="99"/>
    <w:unhideWhenUsed/>
    <w:rPr>
      <w:color w:val="0563C1"/>
      <w:u w:val="single"/>
    </w:rPr>
  </w:style>
  <w:style w:type="character" w:styleId="FootnoteCharacters">
    <w:name w:val="Footnote Characters"/>
    <w:uiPriority w:val="99"/>
    <w:semiHidden/>
    <w:unhideWhenUsed/>
    <w:qFormat/>
    <w:rPr>
      <w:vertAlign w:val="superscript"/>
    </w:rPr>
  </w:style>
  <w:style w:type="character" w:styleId="FootnoteReference">
    <w:name w:val="footnote reference"/>
    <w:rPr>
      <w:vertAlign w:val="superscript"/>
    </w:rPr>
  </w:style>
  <w:style w:type="character" w:styleId="FootnoteTextChar">
    <w:name w:val="Footnote Text Char"/>
    <w:link w:val="FootnoteText"/>
    <w:uiPriority w:val="99"/>
    <w:semiHidden/>
    <w:unhideWhenUsed/>
    <w:qFormat/>
    <w:rPr>
      <w:sz w:val="20"/>
      <w:szCs w:val="20"/>
    </w:rPr>
  </w:style>
  <w:style w:type="character" w:styleId="EndnoteCharacters">
    <w:name w:val="Endnote Characters"/>
    <w:uiPriority w:val="99"/>
    <w:semiHidden/>
    <w:unhideWhenUsed/>
    <w:qFormat/>
    <w:rPr>
      <w:vertAlign w:val="superscript"/>
    </w:rPr>
  </w:style>
  <w:style w:type="character" w:styleId="EndnoteReference">
    <w:name w:val="endnote reference"/>
    <w:rPr>
      <w:vertAlign w:val="superscript"/>
    </w:rPr>
  </w:style>
  <w:style w:type="character" w:styleId="EndnoteTextChar">
    <w:name w:val="Endnote Text Char"/>
    <w:link w:val="EndnoteText"/>
    <w:uiPriority w:val="99"/>
    <w:semiHidden/>
    <w:unhideWhenUsed/>
    <w:qFormat/>
    <w:rPr>
      <w:sz w:val="20"/>
      <w:szCs w:val="20"/>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Heading"/>
    <w:qFormat/>
    <w:pPr/>
    <w:rPr>
      <w:sz w:val="56"/>
      <w:szCs w:val="56"/>
    </w:rPr>
  </w:style>
  <w:style w:type="paragraph" w:styleId="StrongEmphasis">
    <w:name w:val="Strong Emphasis"/>
    <w:qFormat/>
    <w:pPr>
      <w:widowControl/>
      <w:bidi w:val="0"/>
      <w:spacing w:before="0" w:after="0"/>
      <w:jc w:val="start"/>
    </w:pPr>
    <w:rPr>
      <w:rFonts w:ascii="Calibri" w:hAnsi="Calibri" w:eastAsia="Calibri" w:cs="Calibri"/>
      <w:b/>
      <w:bCs/>
      <w:color w:val="auto"/>
      <w:kern w:val="0"/>
      <w:sz w:val="22"/>
      <w:szCs w:val="22"/>
      <w:lang w:val="en-US" w:eastAsia="zh-CN" w:bidi="hi-IN"/>
    </w:rPr>
  </w:style>
  <w:style w:type="paragraph" w:styleId="ListParagraph">
    <w:name w:val="List Paragraph"/>
    <w:qFormat/>
    <w:pPr>
      <w:widowControl/>
      <w:bidi w:val="0"/>
      <w:spacing w:before="0" w:after="0"/>
      <w:jc w:val="start"/>
    </w:pPr>
    <w:rPr>
      <w:rFonts w:ascii="Calibri" w:hAnsi="Calibri" w:eastAsia="Calibri" w:cs="Calibri"/>
      <w:color w:val="auto"/>
      <w:kern w:val="0"/>
      <w:sz w:val="22"/>
      <w:szCs w:val="22"/>
      <w:lang w:val="en-US" w:eastAsia="zh-CN" w:bidi="hi-IN"/>
    </w:rPr>
  </w:style>
  <w:style w:type="paragraph" w:styleId="FootnoteText">
    <w:name w:val="footnote text"/>
    <w:basedOn w:val="Normal"/>
    <w:link w:val="FootnoteTextChar"/>
    <w:uiPriority w:val="99"/>
    <w:semiHidden/>
    <w:unhideWhenUsed/>
    <w:pPr>
      <w:spacing w:lineRule="auto" w:line="240" w:before="0" w:after="0"/>
    </w:pPr>
    <w:rPr>
      <w:sz w:val="20"/>
      <w:szCs w:val="20"/>
    </w:rPr>
  </w:style>
  <w:style w:type="paragraph" w:styleId="EndnoteText">
    <w:name w:val="endnote text"/>
    <w:basedOn w:val="Normal"/>
    <w:link w:val="EndnoteTextChar"/>
    <w:uiPriority w:val="99"/>
    <w:semiHidden/>
    <w:unhideWhenUsed/>
    <w:pPr>
      <w:spacing w:lineRule="auto" w:line="240" w:before="0" w:after="0"/>
    </w:pPr>
    <w:rPr>
      <w:sz w:val="20"/>
      <w:szCs w:val="20"/>
    </w:rPr>
  </w:style>
  <w:style w:type="paragraph" w:styleId="HeaderandFooter">
    <w:name w:val="Header and Footer"/>
    <w:basedOn w:val="Normal"/>
    <w:qFormat/>
    <w:pPr/>
    <w:rPr/>
  </w:style>
  <w:style w:type="paragraph" w:styleId="Header">
    <w:name w:val="header"/>
    <w:basedOn w:val="HeaderandFooter"/>
    <w:pPr/>
    <w:rPr/>
  </w:style>
  <w:style w:type="paragraph" w:styleId="Footer">
    <w:name w:val="footer"/>
    <w:basedOn w:val="HeaderandFooter"/>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png"/><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header" Target="header3.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TotalTime>
  <Application>LibreOffice/26.2.5.2$Windows_X86_64 LibreOffice_project/cd7284b4cbbfeb507e630c1aac019f4157393acb</Application>
  <AppVersion>15.0000</AppVersion>
  <Pages>2</Pages>
  <Words>262</Words>
  <Characters>1349</Characters>
  <CharactersWithSpaces>1581</CharactersWithSpaces>
  <Paragraphs>51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2026-09-16T15:49:11Z</dcterms:created>
  <dc:creator>Un-named</dc:creator>
  <dc:description/>
  <dc:language>en-US</dc:language>
  <cp:lastModifiedBy/>
  <dcterms:modified xsi:type="dcterms:W3CDTF">2026-09-16T11:53:10Z</dcterms:modified>
  <cp:revision>2</cp:revision>
  <dc:subject/>
  <dc:title/>
</cp:coreProperties>
</file>